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0.1 -->
  <w:body>
    <w:p w:rsidR="004D01E7" w:rsidRPr="00FD7856" w:rsidP="00FD7856">
      <w:pPr>
        <w:tabs>
          <w:tab w:val="left" w:pos="4208"/>
        </w:tabs>
        <w:spacing w:line="480" w:lineRule="auto"/>
        <w:jc w:val="center"/>
        <w:rPr>
          <w:rFonts w:ascii="Times New Roman" w:hAnsi="Times New Roman" w:cs="Times New Roman"/>
          <w:b/>
          <w:sz w:val="24"/>
          <w:szCs w:val="24"/>
        </w:rPr>
      </w:pPr>
    </w:p>
    <w:p w:rsidR="004D01E7" w:rsidRPr="00FD7856" w:rsidP="00FD7856">
      <w:pPr>
        <w:tabs>
          <w:tab w:val="left" w:pos="4208"/>
        </w:tabs>
        <w:spacing w:line="480" w:lineRule="auto"/>
        <w:jc w:val="center"/>
        <w:rPr>
          <w:rFonts w:ascii="Times New Roman" w:hAnsi="Times New Roman" w:cs="Times New Roman"/>
          <w:b/>
          <w:sz w:val="24"/>
          <w:szCs w:val="24"/>
        </w:rPr>
      </w:pPr>
    </w:p>
    <w:p w:rsidR="004D01E7" w:rsidRPr="00FD7856" w:rsidP="00FD7856">
      <w:pPr>
        <w:tabs>
          <w:tab w:val="left" w:pos="4208"/>
        </w:tabs>
        <w:spacing w:line="480" w:lineRule="auto"/>
        <w:jc w:val="center"/>
        <w:rPr>
          <w:rFonts w:ascii="Times New Roman" w:hAnsi="Times New Roman" w:cs="Times New Roman"/>
          <w:b/>
          <w:sz w:val="24"/>
          <w:szCs w:val="24"/>
        </w:rPr>
      </w:pPr>
    </w:p>
    <w:p w:rsidR="004D01E7" w:rsidRPr="00FD7856" w:rsidP="00FD7856">
      <w:pPr>
        <w:tabs>
          <w:tab w:val="left" w:pos="4208"/>
        </w:tabs>
        <w:spacing w:line="480" w:lineRule="auto"/>
        <w:jc w:val="center"/>
        <w:rPr>
          <w:rFonts w:ascii="Times New Roman" w:hAnsi="Times New Roman" w:cs="Times New Roman"/>
          <w:b/>
          <w:sz w:val="24"/>
          <w:szCs w:val="24"/>
        </w:rPr>
      </w:pPr>
    </w:p>
    <w:p w:rsidR="004D01E7" w:rsidRPr="00FD7856" w:rsidP="00FD7856">
      <w:pPr>
        <w:tabs>
          <w:tab w:val="left" w:pos="4208"/>
        </w:tabs>
        <w:spacing w:line="480" w:lineRule="auto"/>
        <w:jc w:val="center"/>
        <w:rPr>
          <w:rFonts w:ascii="Times New Roman" w:hAnsi="Times New Roman" w:cs="Times New Roman"/>
          <w:b/>
          <w:sz w:val="24"/>
          <w:szCs w:val="24"/>
        </w:rPr>
      </w:pPr>
    </w:p>
    <w:p w:rsidR="004D01E7" w:rsidRPr="00FD7856" w:rsidP="00FD7856">
      <w:pPr>
        <w:tabs>
          <w:tab w:val="left" w:pos="4208"/>
        </w:tabs>
        <w:spacing w:line="480" w:lineRule="auto"/>
        <w:jc w:val="center"/>
        <w:rPr>
          <w:rFonts w:ascii="Times New Roman" w:hAnsi="Times New Roman" w:cs="Times New Roman"/>
          <w:b/>
          <w:sz w:val="24"/>
          <w:szCs w:val="24"/>
        </w:rPr>
      </w:pPr>
    </w:p>
    <w:p w:rsidR="004D01E7" w:rsidRPr="00FD7856" w:rsidP="00FD7856">
      <w:pPr>
        <w:tabs>
          <w:tab w:val="left" w:pos="4208"/>
        </w:tabs>
        <w:spacing w:line="480" w:lineRule="auto"/>
        <w:jc w:val="center"/>
        <w:rPr>
          <w:rFonts w:ascii="Times New Roman" w:hAnsi="Times New Roman" w:cs="Times New Roman"/>
          <w:sz w:val="24"/>
          <w:szCs w:val="24"/>
        </w:rPr>
      </w:pPr>
      <w:r w:rsidRPr="00FD7856">
        <w:rPr>
          <w:rFonts w:ascii="Times New Roman" w:hAnsi="Times New Roman" w:cs="Times New Roman"/>
          <w:sz w:val="24"/>
          <w:szCs w:val="24"/>
        </w:rPr>
        <w:t>Name</w:t>
      </w:r>
    </w:p>
    <w:p w:rsidR="004D01E7" w:rsidRPr="00FD7856" w:rsidP="00FD7856">
      <w:pPr>
        <w:tabs>
          <w:tab w:val="left" w:pos="4208"/>
        </w:tabs>
        <w:spacing w:line="480" w:lineRule="auto"/>
        <w:jc w:val="center"/>
        <w:rPr>
          <w:rFonts w:ascii="Times New Roman" w:hAnsi="Times New Roman" w:cs="Times New Roman"/>
          <w:sz w:val="24"/>
          <w:szCs w:val="24"/>
        </w:rPr>
      </w:pPr>
      <w:r w:rsidRPr="00FD7856">
        <w:rPr>
          <w:rFonts w:ascii="Times New Roman" w:hAnsi="Times New Roman" w:cs="Times New Roman"/>
          <w:sz w:val="24"/>
          <w:szCs w:val="24"/>
        </w:rPr>
        <w:t>Institution</w:t>
      </w:r>
    </w:p>
    <w:p w:rsidR="004D01E7" w:rsidRPr="00FD7856" w:rsidP="00FD7856">
      <w:pPr>
        <w:tabs>
          <w:tab w:val="left" w:pos="4208"/>
        </w:tabs>
        <w:spacing w:line="480" w:lineRule="auto"/>
        <w:jc w:val="center"/>
        <w:rPr>
          <w:rFonts w:ascii="Times New Roman" w:hAnsi="Times New Roman" w:cs="Times New Roman"/>
          <w:sz w:val="24"/>
          <w:szCs w:val="24"/>
        </w:rPr>
      </w:pPr>
      <w:r w:rsidRPr="00FD7856">
        <w:rPr>
          <w:rFonts w:ascii="Times New Roman" w:hAnsi="Times New Roman" w:cs="Times New Roman"/>
          <w:sz w:val="24"/>
          <w:szCs w:val="24"/>
        </w:rPr>
        <w:t>Course</w:t>
      </w:r>
    </w:p>
    <w:p w:rsidR="004D01E7" w:rsidRPr="00FD7856" w:rsidP="00FD7856">
      <w:pPr>
        <w:tabs>
          <w:tab w:val="left" w:pos="4208"/>
        </w:tabs>
        <w:spacing w:line="480" w:lineRule="auto"/>
        <w:jc w:val="center"/>
        <w:rPr>
          <w:rFonts w:ascii="Times New Roman" w:hAnsi="Times New Roman" w:cs="Times New Roman"/>
          <w:sz w:val="24"/>
          <w:szCs w:val="24"/>
        </w:rPr>
      </w:pPr>
      <w:r w:rsidRPr="00FD7856">
        <w:rPr>
          <w:rFonts w:ascii="Times New Roman" w:hAnsi="Times New Roman" w:cs="Times New Roman"/>
          <w:sz w:val="24"/>
          <w:szCs w:val="24"/>
        </w:rPr>
        <w:t>Instructor</w:t>
      </w:r>
    </w:p>
    <w:p w:rsidR="004D01E7" w:rsidRPr="00FD7856" w:rsidP="00FD7856">
      <w:pPr>
        <w:tabs>
          <w:tab w:val="left" w:pos="4208"/>
        </w:tabs>
        <w:spacing w:line="480" w:lineRule="auto"/>
        <w:jc w:val="center"/>
        <w:rPr>
          <w:rFonts w:ascii="Times New Roman" w:hAnsi="Times New Roman" w:cs="Times New Roman"/>
          <w:sz w:val="24"/>
          <w:szCs w:val="24"/>
        </w:rPr>
      </w:pPr>
      <w:r w:rsidRPr="00FD7856">
        <w:rPr>
          <w:rFonts w:ascii="Times New Roman" w:hAnsi="Times New Roman" w:cs="Times New Roman"/>
          <w:sz w:val="24"/>
          <w:szCs w:val="24"/>
        </w:rPr>
        <w:t>Date</w:t>
      </w:r>
    </w:p>
    <w:p w:rsidR="004D01E7" w:rsidRPr="00FD7856" w:rsidP="00FD7856">
      <w:pPr>
        <w:tabs>
          <w:tab w:val="left" w:pos="4208"/>
        </w:tabs>
        <w:spacing w:line="480" w:lineRule="auto"/>
        <w:jc w:val="center"/>
        <w:rPr>
          <w:rFonts w:ascii="Times New Roman" w:hAnsi="Times New Roman" w:cs="Times New Roman"/>
          <w:b/>
          <w:sz w:val="24"/>
          <w:szCs w:val="24"/>
        </w:rPr>
      </w:pPr>
    </w:p>
    <w:p w:rsidR="004D01E7" w:rsidRPr="00FD7856" w:rsidP="00FD7856">
      <w:pPr>
        <w:tabs>
          <w:tab w:val="left" w:pos="4208"/>
        </w:tabs>
        <w:spacing w:line="480" w:lineRule="auto"/>
        <w:jc w:val="center"/>
        <w:rPr>
          <w:rFonts w:ascii="Times New Roman" w:hAnsi="Times New Roman" w:cs="Times New Roman"/>
          <w:b/>
          <w:sz w:val="24"/>
          <w:szCs w:val="24"/>
        </w:rPr>
      </w:pPr>
    </w:p>
    <w:p w:rsidR="004D01E7" w:rsidRPr="00FD7856" w:rsidP="00FD7856">
      <w:pPr>
        <w:tabs>
          <w:tab w:val="left" w:pos="4208"/>
        </w:tabs>
        <w:spacing w:line="480" w:lineRule="auto"/>
        <w:jc w:val="center"/>
        <w:rPr>
          <w:rFonts w:ascii="Times New Roman" w:hAnsi="Times New Roman" w:cs="Times New Roman"/>
          <w:b/>
          <w:sz w:val="24"/>
          <w:szCs w:val="24"/>
        </w:rPr>
      </w:pPr>
    </w:p>
    <w:p w:rsidR="004D01E7" w:rsidRPr="00FD7856" w:rsidP="00FD7856">
      <w:pPr>
        <w:tabs>
          <w:tab w:val="left" w:pos="4208"/>
        </w:tabs>
        <w:spacing w:line="480" w:lineRule="auto"/>
        <w:jc w:val="center"/>
        <w:rPr>
          <w:rFonts w:ascii="Times New Roman" w:hAnsi="Times New Roman" w:cs="Times New Roman"/>
          <w:b/>
          <w:sz w:val="24"/>
          <w:szCs w:val="24"/>
        </w:rPr>
      </w:pPr>
    </w:p>
    <w:p w:rsidR="004D01E7" w:rsidRPr="00FD7856" w:rsidP="00FD7856">
      <w:pPr>
        <w:tabs>
          <w:tab w:val="left" w:pos="4208"/>
        </w:tabs>
        <w:spacing w:line="480" w:lineRule="auto"/>
        <w:jc w:val="center"/>
        <w:rPr>
          <w:rFonts w:ascii="Times New Roman" w:hAnsi="Times New Roman" w:cs="Times New Roman"/>
          <w:b/>
          <w:sz w:val="24"/>
          <w:szCs w:val="24"/>
        </w:rPr>
      </w:pPr>
    </w:p>
    <w:p w:rsidR="004D01E7" w:rsidRPr="00FD7856" w:rsidP="00FD7856">
      <w:pPr>
        <w:spacing w:line="480" w:lineRule="auto"/>
        <w:rPr>
          <w:rFonts w:ascii="Times New Roman" w:hAnsi="Times New Roman" w:cs="Times New Roman"/>
          <w:b/>
          <w:sz w:val="24"/>
          <w:szCs w:val="24"/>
        </w:rPr>
      </w:pPr>
      <w:r w:rsidRPr="00FD7856">
        <w:rPr>
          <w:rFonts w:ascii="Times New Roman" w:hAnsi="Times New Roman" w:cs="Times New Roman"/>
          <w:b/>
          <w:sz w:val="24"/>
          <w:szCs w:val="24"/>
        </w:rPr>
        <w:br w:type="page"/>
      </w:r>
    </w:p>
    <w:p w:rsidR="009E3AC4" w:rsidRPr="00FD7856" w:rsidP="00FD7856">
      <w:pPr>
        <w:tabs>
          <w:tab w:val="left" w:pos="4208"/>
        </w:tabs>
        <w:spacing w:line="480" w:lineRule="auto"/>
        <w:ind w:firstLine="720"/>
        <w:jc w:val="both"/>
        <w:rPr>
          <w:rFonts w:ascii="Times New Roman" w:hAnsi="Times New Roman" w:cs="Times New Roman"/>
          <w:b/>
          <w:sz w:val="24"/>
          <w:szCs w:val="24"/>
        </w:rPr>
      </w:pPr>
      <w:r w:rsidRPr="00FD7856">
        <w:rPr>
          <w:rFonts w:ascii="Times New Roman" w:hAnsi="Times New Roman" w:cs="Times New Roman"/>
          <w:b/>
          <w:sz w:val="24"/>
          <w:szCs w:val="24"/>
        </w:rPr>
        <w:t>Poletown Neighborhood</w:t>
      </w:r>
      <w:r w:rsidRPr="00FD7856" w:rsidR="00395490">
        <w:rPr>
          <w:rFonts w:ascii="Times New Roman" w:hAnsi="Times New Roman" w:cs="Times New Roman"/>
          <w:b/>
          <w:sz w:val="24"/>
          <w:szCs w:val="24"/>
        </w:rPr>
        <w:t xml:space="preserve"> Council v. Detroit </w:t>
      </w:r>
      <w:r w:rsidRPr="00FD7856">
        <w:rPr>
          <w:rFonts w:ascii="Times New Roman" w:hAnsi="Times New Roman" w:cs="Times New Roman"/>
          <w:b/>
          <w:sz w:val="24"/>
          <w:szCs w:val="24"/>
        </w:rPr>
        <w:t xml:space="preserve">city </w:t>
      </w:r>
    </w:p>
    <w:p w:rsidR="00395490" w:rsidRPr="00FD7856" w:rsidP="00FD7856">
      <w:pPr>
        <w:pStyle w:val="Heading1"/>
        <w:shd w:val="clear" w:color="auto" w:fill="FAFAFA"/>
        <w:spacing w:line="480" w:lineRule="auto"/>
        <w:ind w:firstLine="720"/>
        <w:jc w:val="both"/>
        <w:rPr>
          <w:b w:val="0"/>
          <w:sz w:val="24"/>
          <w:szCs w:val="24"/>
        </w:rPr>
      </w:pPr>
      <w:r w:rsidRPr="00FD7856">
        <w:rPr>
          <w:b w:val="0"/>
          <w:sz w:val="24"/>
          <w:szCs w:val="24"/>
        </w:rPr>
        <w:t xml:space="preserve">The case of </w:t>
      </w:r>
      <w:r w:rsidRPr="00FD7856" w:rsidR="001B7F83">
        <w:rPr>
          <w:b w:val="0"/>
          <w:sz w:val="24"/>
          <w:szCs w:val="24"/>
        </w:rPr>
        <w:t>Po</w:t>
      </w:r>
      <w:r w:rsidRPr="00FD7856">
        <w:rPr>
          <w:b w:val="0"/>
          <w:sz w:val="24"/>
          <w:szCs w:val="24"/>
        </w:rPr>
        <w:t>leto</w:t>
      </w:r>
      <w:r w:rsidRPr="00FD7856" w:rsidR="001B7F83">
        <w:rPr>
          <w:b w:val="0"/>
          <w:sz w:val="24"/>
          <w:szCs w:val="24"/>
        </w:rPr>
        <w:t>w</w:t>
      </w:r>
      <w:r w:rsidRPr="00FD7856">
        <w:rPr>
          <w:b w:val="0"/>
          <w:sz w:val="24"/>
          <w:szCs w:val="24"/>
        </w:rPr>
        <w:t xml:space="preserve">n council vs Detroit was based on a devised plan to acquire public property by the Detroit Economic Development Corporation and give it to the General Motors Corporation </w:t>
      </w:r>
      <w:r w:rsidRPr="00FD7856" w:rsidR="006F5BB6">
        <w:rPr>
          <w:b w:val="0"/>
          <w:sz w:val="24"/>
          <w:szCs w:val="24"/>
        </w:rPr>
        <w:t>to set up an assembly plant. The plaintiffs</w:t>
      </w:r>
      <w:r w:rsidRPr="00FD7856" w:rsidR="00E810CA">
        <w:rPr>
          <w:b w:val="0"/>
          <w:sz w:val="24"/>
          <w:szCs w:val="24"/>
        </w:rPr>
        <w:t xml:space="preserve">, who included the individuals affected by the move as well as the association representing the affected neighborhood and </w:t>
      </w:r>
      <w:r w:rsidRPr="00FD7856" w:rsidR="006F5BB6">
        <w:rPr>
          <w:b w:val="0"/>
          <w:sz w:val="24"/>
          <w:szCs w:val="24"/>
        </w:rPr>
        <w:t>in the case</w:t>
      </w:r>
      <w:r w:rsidRPr="00FD7856" w:rsidR="00E810CA">
        <w:rPr>
          <w:b w:val="0"/>
          <w:sz w:val="24"/>
          <w:szCs w:val="24"/>
        </w:rPr>
        <w:t>,</w:t>
      </w:r>
      <w:r w:rsidRPr="00FD7856" w:rsidR="006F5BB6">
        <w:rPr>
          <w:b w:val="0"/>
          <w:sz w:val="24"/>
          <w:szCs w:val="24"/>
        </w:rPr>
        <w:t xml:space="preserve"> went to court to </w:t>
      </w:r>
      <w:r w:rsidRPr="00FD7856" w:rsidR="007B68CC">
        <w:rPr>
          <w:b w:val="0"/>
          <w:sz w:val="24"/>
          <w:szCs w:val="24"/>
        </w:rPr>
        <w:t xml:space="preserve">challenge the applicability of the condemnation grounds used by the Detroit Economic Development Corporation </w:t>
      </w:r>
      <w:r w:rsidRPr="00FD7856" w:rsidR="00E810CA">
        <w:rPr>
          <w:b w:val="0"/>
          <w:sz w:val="24"/>
          <w:szCs w:val="24"/>
        </w:rPr>
        <w:t xml:space="preserve">in acquiring the land. </w:t>
      </w:r>
      <w:r w:rsidRPr="00FD7856" w:rsidR="008D572C">
        <w:rPr>
          <w:b w:val="0"/>
          <w:sz w:val="24"/>
          <w:szCs w:val="24"/>
        </w:rPr>
        <w:t xml:space="preserve">The main complaint is based on whether the city was abusing the Act provided under the Mich. Comp. Laws § 213.51 which allows public agencies </w:t>
      </w:r>
      <w:r w:rsidRPr="00FD7856" w:rsidR="00165FBF">
        <w:rPr>
          <w:b w:val="0"/>
          <w:sz w:val="24"/>
          <w:szCs w:val="24"/>
        </w:rPr>
        <w:t xml:space="preserve">to acquire </w:t>
      </w:r>
      <w:r w:rsidRPr="00FD7856" w:rsidR="008D572C">
        <w:rPr>
          <w:b w:val="0"/>
          <w:sz w:val="24"/>
          <w:szCs w:val="24"/>
        </w:rPr>
        <w:t>or take public property</w:t>
      </w:r>
      <w:r w:rsidRPr="00FD7856" w:rsidR="00165FBF">
        <w:rPr>
          <w:b w:val="0"/>
          <w:sz w:val="24"/>
          <w:szCs w:val="24"/>
        </w:rPr>
        <w:t xml:space="preserve"> and transfer its ownership to a private agency or corporation through condemnation</w:t>
      </w:r>
      <w:r w:rsidRPr="00FD7856" w:rsidR="00590054">
        <w:rPr>
          <w:b w:val="0"/>
          <w:sz w:val="24"/>
          <w:szCs w:val="24"/>
        </w:rPr>
        <w:t xml:space="preserve"> (</w:t>
      </w:r>
      <w:r w:rsidRPr="00FD7856" w:rsidR="00590054">
        <w:rPr>
          <w:b w:val="0"/>
          <w:color w:val="222222"/>
          <w:sz w:val="24"/>
          <w:szCs w:val="24"/>
          <w:shd w:val="clear" w:color="auto" w:fill="FFFFFF"/>
        </w:rPr>
        <w:t>Paul, 2017)</w:t>
      </w:r>
      <w:r w:rsidRPr="00FD7856" w:rsidR="00165FBF">
        <w:rPr>
          <w:b w:val="0"/>
          <w:sz w:val="24"/>
          <w:szCs w:val="24"/>
        </w:rPr>
        <w:t xml:space="preserve">. </w:t>
      </w:r>
      <w:r w:rsidRPr="00FD7856" w:rsidR="00975C23">
        <w:rPr>
          <w:b w:val="0"/>
          <w:sz w:val="24"/>
          <w:szCs w:val="24"/>
        </w:rPr>
        <w:t xml:space="preserve">The case continued for 10 days before the Wayne Circuit Court reached their final judgment. </w:t>
      </w:r>
      <w:r w:rsidRPr="00FD7856" w:rsidR="00D9035D">
        <w:rPr>
          <w:b w:val="0"/>
          <w:sz w:val="24"/>
          <w:szCs w:val="24"/>
        </w:rPr>
        <w:t>The complaint from the plaintiffs was dismissed by the court allowing the acquisition of the property. This made the plaintiffs proceed to the court of an appeal to challenge the court's order. The court of appeal affirmed the decision by the court of trial according to the GCR 1963, 866.3(C). 
</w:t>
      </w:r>
    </w:p>
    <w:p w:rsidR="00D9035D" w:rsidRPr="00FD7856" w:rsidP="00FD7856">
      <w:pPr>
        <w:pStyle w:val="Heading1"/>
        <w:shd w:val="clear" w:color="auto" w:fill="FAFAFA"/>
        <w:spacing w:line="480" w:lineRule="auto"/>
        <w:ind w:firstLine="720"/>
        <w:jc w:val="both"/>
        <w:rPr>
          <w:sz w:val="24"/>
          <w:szCs w:val="24"/>
        </w:rPr>
      </w:pPr>
      <w:r w:rsidRPr="00FD7856">
        <w:rPr>
          <w:sz w:val="24"/>
          <w:szCs w:val="24"/>
        </w:rPr>
        <w:t xml:space="preserve">Relevant details </w:t>
      </w:r>
    </w:p>
    <w:p w:rsidR="00FA0B8C" w:rsidRPr="00FD7856" w:rsidP="00FD7856">
      <w:pPr>
        <w:pStyle w:val="Heading1"/>
        <w:shd w:val="clear" w:color="auto" w:fill="FAFAFA"/>
        <w:spacing w:line="480" w:lineRule="auto"/>
        <w:ind w:firstLine="720"/>
        <w:jc w:val="both"/>
        <w:rPr>
          <w:sz w:val="24"/>
          <w:szCs w:val="24"/>
        </w:rPr>
      </w:pPr>
      <w:r w:rsidRPr="00FD7856">
        <w:rPr>
          <w:sz w:val="24"/>
          <w:szCs w:val="24"/>
        </w:rPr>
        <w:t xml:space="preserve">Plaintiff’s claim </w:t>
      </w:r>
    </w:p>
    <w:p w:rsidR="004D01E7" w:rsidRPr="00FD7856" w:rsidP="00FD7856">
      <w:pPr>
        <w:pStyle w:val="Heading1"/>
        <w:shd w:val="clear" w:color="auto" w:fill="FAFAFA"/>
        <w:spacing w:line="480" w:lineRule="auto"/>
        <w:ind w:firstLine="720"/>
        <w:jc w:val="both"/>
        <w:rPr>
          <w:b w:val="0"/>
          <w:sz w:val="24"/>
          <w:szCs w:val="24"/>
        </w:rPr>
      </w:pPr>
      <w:r w:rsidRPr="00FD7856">
        <w:rPr>
          <w:b w:val="0"/>
          <w:sz w:val="24"/>
          <w:szCs w:val="24"/>
        </w:rPr>
        <w:t xml:space="preserve">Various issues were </w:t>
      </w:r>
      <w:r w:rsidRPr="00FD7856" w:rsidR="00CC70CD">
        <w:rPr>
          <w:b w:val="0"/>
          <w:sz w:val="24"/>
          <w:szCs w:val="24"/>
        </w:rPr>
        <w:t>raised by</w:t>
      </w:r>
      <w:r w:rsidRPr="00FD7856">
        <w:rPr>
          <w:b w:val="0"/>
          <w:sz w:val="24"/>
          <w:szCs w:val="24"/>
        </w:rPr>
        <w:t xml:space="preserve"> both the defendants and the plaintiffs to support their positions in the lawsuit.</w:t>
      </w:r>
      <w:r w:rsidRPr="00FD7856" w:rsidR="00CC70CD">
        <w:rPr>
          <w:b w:val="0"/>
          <w:sz w:val="24"/>
          <w:szCs w:val="24"/>
        </w:rPr>
        <w:t xml:space="preserve"> In this case, the property acquired and handed to the corporation for the construction of the plant was perceived by the legislature as a major way of alleviating the society and reducing unemployment in the community as well as promoting commerce around the area which is an essential factor in the community. </w:t>
      </w:r>
      <w:r w:rsidRPr="00FD7856" w:rsidR="00F661E7">
        <w:rPr>
          <w:b w:val="0"/>
          <w:sz w:val="24"/>
          <w:szCs w:val="24"/>
        </w:rPr>
        <w:t>The</w:t>
      </w:r>
      <w:r w:rsidRPr="00FD7856" w:rsidR="00CC70CD">
        <w:rPr>
          <w:b w:val="0"/>
          <w:sz w:val="24"/>
          <w:szCs w:val="24"/>
        </w:rPr>
        <w:t xml:space="preserve"> plaintiffs however challenged this </w:t>
      </w:r>
      <w:r w:rsidRPr="00FD7856" w:rsidR="00CC70CD">
        <w:rPr>
          <w:b w:val="0"/>
          <w:sz w:val="24"/>
          <w:szCs w:val="24"/>
        </w:rPr>
        <w:t xml:space="preserve">assertion </w:t>
      </w:r>
      <w:r w:rsidRPr="00FD7856" w:rsidR="00F661E7">
        <w:rPr>
          <w:b w:val="0"/>
          <w:sz w:val="24"/>
          <w:szCs w:val="24"/>
        </w:rPr>
        <w:t>as well as the power provided under the eminent domain which allows the taking of personal property and conveying it to another private firm as a way of bolstering the economy and reducing unemployment rates in the community. the plaintiffs argued under the fact that General Motors Corporation was a private company, the land was taken for personal use and generation of profits for the organization which makes the corporation the major beneficiary of the practice u</w:t>
      </w:r>
      <w:r w:rsidRPr="00FD7856" w:rsidR="005821C5">
        <w:rPr>
          <w:b w:val="0"/>
          <w:sz w:val="24"/>
          <w:szCs w:val="24"/>
        </w:rPr>
        <w:t>nder emine</w:t>
      </w:r>
      <w:r w:rsidRPr="00FD7856" w:rsidR="00F661E7">
        <w:rPr>
          <w:b w:val="0"/>
          <w:sz w:val="24"/>
          <w:szCs w:val="24"/>
        </w:rPr>
        <w:t xml:space="preserve">nt domain. </w:t>
      </w:r>
      <w:r w:rsidRPr="00FD7856" w:rsidR="005821C5">
        <w:rPr>
          <w:b w:val="0"/>
          <w:sz w:val="24"/>
          <w:szCs w:val="24"/>
        </w:rPr>
        <w:t>The plaintiffs also argued against the action saying the project was a violation of the environmental activities in the state. This is based on the fact it would highly impact the existing cultural and social environment in the community know as Poletown</w:t>
      </w:r>
      <w:r w:rsidRPr="00FD7856">
        <w:rPr>
          <w:b w:val="0"/>
          <w:sz w:val="24"/>
          <w:szCs w:val="24"/>
        </w:rPr>
        <w:t xml:space="preserve"> (</w:t>
      </w:r>
      <w:r w:rsidRPr="00FD7856">
        <w:rPr>
          <w:b w:val="0"/>
          <w:color w:val="222222"/>
          <w:sz w:val="24"/>
          <w:szCs w:val="24"/>
          <w:shd w:val="clear" w:color="auto" w:fill="FFFFFF"/>
        </w:rPr>
        <w:t>Sandefur, 2016)</w:t>
      </w:r>
      <w:r w:rsidRPr="00FD7856">
        <w:rPr>
          <w:b w:val="0"/>
          <w:sz w:val="24"/>
          <w:szCs w:val="24"/>
        </w:rPr>
        <w:t>.</w:t>
      </w:r>
    </w:p>
    <w:p w:rsidR="00FA0B8C" w:rsidRPr="00FD7856" w:rsidP="00FD7856">
      <w:pPr>
        <w:pStyle w:val="Heading1"/>
        <w:shd w:val="clear" w:color="auto" w:fill="FAFAFA"/>
        <w:spacing w:line="480" w:lineRule="auto"/>
        <w:ind w:firstLine="720"/>
        <w:jc w:val="both"/>
        <w:rPr>
          <w:sz w:val="24"/>
          <w:szCs w:val="24"/>
        </w:rPr>
      </w:pPr>
      <w:r w:rsidRPr="00FD7856">
        <w:rPr>
          <w:sz w:val="24"/>
          <w:szCs w:val="24"/>
        </w:rPr>
        <w:t xml:space="preserve">Defendant argument </w:t>
      </w:r>
    </w:p>
    <w:p w:rsidR="00FA0B8C" w:rsidRPr="00FD7856" w:rsidP="00FD7856">
      <w:pPr>
        <w:pStyle w:val="Heading1"/>
        <w:shd w:val="clear" w:color="auto" w:fill="FAFAFA"/>
        <w:spacing w:line="480" w:lineRule="auto"/>
        <w:ind w:firstLine="720"/>
        <w:jc w:val="both"/>
        <w:rPr>
          <w:b w:val="0"/>
          <w:sz w:val="24"/>
          <w:szCs w:val="24"/>
        </w:rPr>
      </w:pPr>
      <w:r w:rsidRPr="00FD7856">
        <w:rPr>
          <w:b w:val="0"/>
          <w:sz w:val="24"/>
          <w:szCs w:val="24"/>
        </w:rPr>
        <w:t xml:space="preserve">The eminent domain gave the defendants the major basis for their argument. The defendants argued that the act allows actions by the legislature which promote economic development. The fact that the land would be acquired to set up a private organization generating profits for a private manufacturer does not prevent the plant developed from serving a role to the society which includes reducing poverty </w:t>
      </w:r>
      <w:r w:rsidRPr="00FD7856" w:rsidR="00E539BE">
        <w:rPr>
          <w:b w:val="0"/>
          <w:sz w:val="24"/>
          <w:szCs w:val="24"/>
        </w:rPr>
        <w:t xml:space="preserve">by creation of employment and as well as reducing the fiscal distress in the state. the city also in their argument presented the evidence of the prevailing economic conditions in the state which necessitated the development of industries and plants around the area to create employment which can </w:t>
      </w:r>
      <w:r w:rsidRPr="00FD7856" w:rsidR="001F4195">
        <w:rPr>
          <w:b w:val="0"/>
          <w:sz w:val="24"/>
          <w:szCs w:val="24"/>
        </w:rPr>
        <w:t>alleviate</w:t>
      </w:r>
      <w:r w:rsidRPr="00FD7856" w:rsidR="00E539BE">
        <w:rPr>
          <w:b w:val="0"/>
          <w:sz w:val="24"/>
          <w:szCs w:val="24"/>
        </w:rPr>
        <w:t xml:space="preserve"> the lives of the </w:t>
      </w:r>
      <w:r w:rsidRPr="00FD7856" w:rsidR="001F4195">
        <w:rPr>
          <w:b w:val="0"/>
          <w:sz w:val="24"/>
          <w:szCs w:val="24"/>
        </w:rPr>
        <w:t>a</w:t>
      </w:r>
      <w:r w:rsidRPr="00FD7856" w:rsidR="00E539BE">
        <w:rPr>
          <w:b w:val="0"/>
          <w:sz w:val="24"/>
          <w:szCs w:val="24"/>
        </w:rPr>
        <w:t xml:space="preserve">rea residents. </w:t>
      </w:r>
      <w:r w:rsidRPr="00FD7856" w:rsidR="001F4195">
        <w:rPr>
          <w:b w:val="0"/>
          <w:sz w:val="24"/>
          <w:szCs w:val="24"/>
        </w:rPr>
        <w:t>The defendants also argued that there was no other suitable location for setting up the plant based on the a</w:t>
      </w:r>
      <w:r w:rsidRPr="00FD7856" w:rsidR="004D01E7">
        <w:rPr>
          <w:b w:val="0"/>
          <w:sz w:val="24"/>
          <w:szCs w:val="24"/>
        </w:rPr>
        <w:t>vailable sites for the project (</w:t>
      </w:r>
      <w:r w:rsidRPr="00FD7856" w:rsidR="004D01E7">
        <w:rPr>
          <w:b w:val="0"/>
          <w:color w:val="222222"/>
          <w:sz w:val="24"/>
          <w:szCs w:val="24"/>
          <w:shd w:val="clear" w:color="auto" w:fill="FFFFFF"/>
        </w:rPr>
        <w:t>Sandefur, 2016)</w:t>
      </w:r>
      <w:r w:rsidRPr="00FD7856" w:rsidR="004D01E7">
        <w:rPr>
          <w:b w:val="0"/>
          <w:sz w:val="24"/>
          <w:szCs w:val="24"/>
        </w:rPr>
        <w:t>.</w:t>
      </w:r>
    </w:p>
    <w:p w:rsidR="00FA0B8C" w:rsidRPr="00FD7856" w:rsidP="00FD7856">
      <w:pPr>
        <w:pStyle w:val="Heading1"/>
        <w:shd w:val="clear" w:color="auto" w:fill="FAFAFA"/>
        <w:spacing w:line="480" w:lineRule="auto"/>
        <w:ind w:firstLine="720"/>
        <w:jc w:val="both"/>
        <w:rPr>
          <w:sz w:val="24"/>
          <w:szCs w:val="24"/>
        </w:rPr>
      </w:pPr>
      <w:r w:rsidRPr="00FD7856">
        <w:rPr>
          <w:sz w:val="24"/>
          <w:szCs w:val="24"/>
        </w:rPr>
        <w:t xml:space="preserve">Court decision </w:t>
      </w:r>
    </w:p>
    <w:p w:rsidR="00FA0B8C" w:rsidRPr="00FD7856" w:rsidP="00FD7856">
      <w:pPr>
        <w:pStyle w:val="Heading1"/>
        <w:shd w:val="clear" w:color="auto" w:fill="FAFAFA"/>
        <w:spacing w:line="480" w:lineRule="auto"/>
        <w:ind w:firstLine="720"/>
        <w:jc w:val="both"/>
        <w:rPr>
          <w:b w:val="0"/>
          <w:sz w:val="24"/>
          <w:szCs w:val="24"/>
        </w:rPr>
      </w:pPr>
      <w:r w:rsidRPr="00FD7856">
        <w:rPr>
          <w:b w:val="0"/>
          <w:sz w:val="24"/>
          <w:szCs w:val="24"/>
        </w:rPr>
        <w:t xml:space="preserve">The power of eminent domain was deemed applicable in this case. </w:t>
      </w:r>
      <w:r w:rsidRPr="00FD7856" w:rsidR="00FB31A9">
        <w:rPr>
          <w:b w:val="0"/>
          <w:sz w:val="24"/>
          <w:szCs w:val="24"/>
        </w:rPr>
        <w:t xml:space="preserve">The court decided that condemnation is applicable when private property is transferred to a private party to improve the economic status of the area of </w:t>
      </w:r>
      <w:r w:rsidRPr="00FD7856" w:rsidR="00E13564">
        <w:rPr>
          <w:b w:val="0"/>
          <w:sz w:val="24"/>
          <w:szCs w:val="24"/>
        </w:rPr>
        <w:t xml:space="preserve">creating employment opportunities. </w:t>
      </w:r>
      <w:r w:rsidRPr="00FD7856" w:rsidR="007E4657">
        <w:rPr>
          <w:b w:val="0"/>
          <w:sz w:val="24"/>
          <w:szCs w:val="24"/>
        </w:rPr>
        <w:t xml:space="preserve"> Although the court agreed that not every condemnation contributes to economic development, the public benefit in this project was made clear on how job opportunities can be created and the economy alleviated. </w:t>
      </w:r>
      <w:r w:rsidRPr="00FD7856" w:rsidR="00E21350">
        <w:rPr>
          <w:b w:val="0"/>
          <w:sz w:val="24"/>
          <w:szCs w:val="24"/>
        </w:rPr>
        <w:t xml:space="preserve">This was shown as a major way through which the project serves the public purpose. </w:t>
      </w:r>
      <w:r w:rsidRPr="00FD7856" w:rsidR="00F14FDA">
        <w:rPr>
          <w:b w:val="0"/>
          <w:sz w:val="24"/>
          <w:szCs w:val="24"/>
        </w:rPr>
        <w:t>As the city puts more consideration on industrial development in eradicating poverty, the court of appeal decided to affirm the decision issued first by the trial court. 
</w:t>
      </w:r>
    </w:p>
    <w:p w:rsidR="00F14FDA" w:rsidRPr="00FD7856" w:rsidP="00FD7856">
      <w:pPr>
        <w:pStyle w:val="Heading1"/>
        <w:shd w:val="clear" w:color="auto" w:fill="FAFAFA"/>
        <w:spacing w:line="480" w:lineRule="auto"/>
        <w:ind w:firstLine="720"/>
        <w:jc w:val="both"/>
        <w:rPr>
          <w:sz w:val="24"/>
          <w:szCs w:val="24"/>
        </w:rPr>
      </w:pPr>
      <w:r w:rsidRPr="00FD7856">
        <w:rPr>
          <w:sz w:val="24"/>
          <w:szCs w:val="24"/>
        </w:rPr>
        <w:t xml:space="preserve">Economic issues and personal opinion </w:t>
      </w:r>
    </w:p>
    <w:p w:rsidR="00F14FDA" w:rsidRPr="00FD7856" w:rsidP="00FD7856">
      <w:pPr>
        <w:pStyle w:val="Heading1"/>
        <w:shd w:val="clear" w:color="auto" w:fill="FAFAFA"/>
        <w:spacing w:line="480" w:lineRule="auto"/>
        <w:ind w:firstLine="720"/>
        <w:jc w:val="both"/>
        <w:rPr>
          <w:b w:val="0"/>
          <w:sz w:val="24"/>
          <w:szCs w:val="24"/>
        </w:rPr>
      </w:pPr>
      <w:r w:rsidRPr="00FD7856">
        <w:rPr>
          <w:b w:val="0"/>
          <w:sz w:val="24"/>
          <w:szCs w:val="24"/>
        </w:rPr>
        <w:t xml:space="preserve">The city is likely to support any decisions which promote economic development. The case presents poor economic conditions prevailing which lower the ability of the residents to improve their daily lives. The government and the members of the </w:t>
      </w:r>
      <w:r w:rsidRPr="00FD7856" w:rsidR="00BB1E2E">
        <w:rPr>
          <w:b w:val="0"/>
          <w:sz w:val="24"/>
          <w:szCs w:val="24"/>
        </w:rPr>
        <w:t xml:space="preserve">public all have a role in improving the economic status of the community. the actions of the government to create employment and alleviate the economic conditions in the society should receive enough support from the members of the public.  However, the case raises a concern to the residents of the people based on how much their property is safe from government acquisition. Personal ownership of land for personal purposes seems to be threatened by the condemnation principle which allows the acquisition of personal land for public use. Through this act, the government pays less respect to the personal purpose in owning a piece of land. </w:t>
      </w:r>
      <w:r w:rsidRPr="00FD7856" w:rsidR="00CA2AF4">
        <w:rPr>
          <w:b w:val="0"/>
          <w:sz w:val="24"/>
          <w:szCs w:val="24"/>
        </w:rPr>
        <w:t xml:space="preserve">There is a need to protect the power of the government in acquiring public land as there may be a better use than the </w:t>
      </w:r>
      <w:r w:rsidRPr="00FD7856" w:rsidR="00C1470E">
        <w:rPr>
          <w:b w:val="0"/>
          <w:sz w:val="24"/>
          <w:szCs w:val="24"/>
        </w:rPr>
        <w:t>one promoted by the government (</w:t>
      </w:r>
      <w:r w:rsidRPr="00FD7856" w:rsidR="00C1470E">
        <w:rPr>
          <w:b w:val="0"/>
          <w:color w:val="222222"/>
          <w:sz w:val="24"/>
          <w:szCs w:val="24"/>
          <w:shd w:val="clear" w:color="auto" w:fill="FFFFFF"/>
        </w:rPr>
        <w:t>Paul, 2017). </w:t>
      </w:r>
    </w:p>
    <w:p w:rsidR="00CA2AF4" w:rsidRPr="00FD7856" w:rsidP="00FD7856">
      <w:pPr>
        <w:pStyle w:val="Heading1"/>
        <w:shd w:val="clear" w:color="auto" w:fill="FAFAFA"/>
        <w:spacing w:line="480" w:lineRule="auto"/>
        <w:ind w:firstLine="720"/>
        <w:jc w:val="both"/>
        <w:rPr>
          <w:sz w:val="24"/>
          <w:szCs w:val="24"/>
        </w:rPr>
      </w:pPr>
      <w:r w:rsidRPr="00FD7856">
        <w:rPr>
          <w:sz w:val="24"/>
          <w:szCs w:val="24"/>
        </w:rPr>
        <w:t xml:space="preserve">Conclusion </w:t>
      </w:r>
    </w:p>
    <w:p w:rsidR="00CA2AF4" w:rsidRPr="00FD7856" w:rsidP="00FD7856">
      <w:pPr>
        <w:pStyle w:val="Heading1"/>
        <w:shd w:val="clear" w:color="auto" w:fill="FAFAFA"/>
        <w:spacing w:line="480" w:lineRule="auto"/>
        <w:ind w:firstLine="720"/>
        <w:jc w:val="both"/>
        <w:rPr>
          <w:b w:val="0"/>
          <w:sz w:val="24"/>
          <w:szCs w:val="24"/>
        </w:rPr>
      </w:pPr>
      <w:r w:rsidRPr="00FD7856">
        <w:rPr>
          <w:b w:val="0"/>
          <w:sz w:val="24"/>
          <w:szCs w:val="24"/>
        </w:rPr>
        <w:t>The decision to affirm the acquisition of the land under eminent domain by the court of the trial is the best for this case. The plaintiff's challenge of the condemnation was based on the applicability of the eminent domain as well as the necessity of the action. The defendants were able to justify their practice by showing how setting up the plant would help in promoting economic development as well as the creation of job opportunities</w:t>
      </w:r>
      <w:r w:rsidRPr="00FD7856" w:rsidR="00C1470E">
        <w:rPr>
          <w:b w:val="0"/>
          <w:sz w:val="24"/>
          <w:szCs w:val="24"/>
        </w:rPr>
        <w:t xml:space="preserve"> (</w:t>
      </w:r>
      <w:r w:rsidRPr="00FD7856" w:rsidR="00C1470E">
        <w:rPr>
          <w:b w:val="0"/>
          <w:color w:val="222222"/>
          <w:sz w:val="24"/>
          <w:szCs w:val="24"/>
          <w:shd w:val="clear" w:color="auto" w:fill="FFFFFF"/>
        </w:rPr>
        <w:t>Paul, 2017)</w:t>
      </w:r>
      <w:r w:rsidRPr="00FD7856">
        <w:rPr>
          <w:b w:val="0"/>
          <w:sz w:val="24"/>
          <w:szCs w:val="24"/>
        </w:rPr>
        <w:t xml:space="preserve">. The project would also help in reducing the economic distress. The economic conditions of the people living in the city also signified the necessity of creating job opportunities and improvement of the general economic conditions through industrialization. Through the eminent domain, the decision </w:t>
      </w:r>
      <w:r w:rsidRPr="00FD7856" w:rsidR="00135534">
        <w:rPr>
          <w:b w:val="0"/>
          <w:sz w:val="24"/>
          <w:szCs w:val="24"/>
        </w:rPr>
        <w:t xml:space="preserve">reached by the </w:t>
      </w:r>
      <w:r w:rsidRPr="00FD7856" w:rsidR="001B18F6">
        <w:rPr>
          <w:b w:val="0"/>
          <w:sz w:val="24"/>
          <w:szCs w:val="24"/>
        </w:rPr>
        <w:t>court can be deemed as one w</w:t>
      </w:r>
      <w:r w:rsidRPr="00FD7856" w:rsidR="004D01E7">
        <w:rPr>
          <w:b w:val="0"/>
          <w:sz w:val="24"/>
          <w:szCs w:val="24"/>
        </w:rPr>
        <w:t xml:space="preserve">hich serves the public purpose </w:t>
      </w:r>
      <w:r w:rsidRPr="00FD7856" w:rsidR="004D01E7">
        <w:rPr>
          <w:b w:val="0"/>
          <w:color w:val="222222"/>
          <w:sz w:val="24"/>
          <w:szCs w:val="24"/>
          <w:shd w:val="clear" w:color="auto" w:fill="FFFFFF"/>
        </w:rPr>
        <w:t>Sandefur, T. (2016)</w:t>
      </w:r>
    </w:p>
    <w:p w:rsidR="004D01E7" w:rsidRPr="00FD7856" w:rsidP="00FD7856">
      <w:pPr>
        <w:spacing w:line="480" w:lineRule="auto"/>
        <w:rPr>
          <w:rFonts w:ascii="Times New Roman" w:eastAsia="Times New Roman" w:hAnsi="Times New Roman" w:cs="Times New Roman"/>
          <w:b/>
          <w:bCs/>
          <w:kern w:val="36"/>
          <w:sz w:val="24"/>
          <w:szCs w:val="24"/>
        </w:rPr>
      </w:pPr>
      <w:r w:rsidRPr="00FD7856">
        <w:rPr>
          <w:rFonts w:ascii="Times New Roman" w:hAnsi="Times New Roman" w:cs="Times New Roman"/>
          <w:sz w:val="24"/>
          <w:szCs w:val="24"/>
        </w:rPr>
        <w:br w:type="page"/>
      </w:r>
    </w:p>
    <w:p w:rsidR="004D01E7" w:rsidRPr="00FD7856" w:rsidP="00FD7856">
      <w:pPr>
        <w:pStyle w:val="Heading1"/>
        <w:shd w:val="clear" w:color="auto" w:fill="FAFAFA"/>
        <w:spacing w:line="480" w:lineRule="auto"/>
        <w:ind w:firstLine="720"/>
        <w:jc w:val="center"/>
        <w:rPr>
          <w:sz w:val="24"/>
          <w:szCs w:val="24"/>
        </w:rPr>
      </w:pPr>
      <w:r w:rsidRPr="00FD7856">
        <w:rPr>
          <w:sz w:val="24"/>
          <w:szCs w:val="24"/>
        </w:rPr>
        <w:t>References</w:t>
      </w:r>
    </w:p>
    <w:p w:rsidR="00FD7856" w:rsidRPr="00FD7856" w:rsidP="00FD7856">
      <w:pPr>
        <w:tabs>
          <w:tab w:val="left" w:pos="6854"/>
        </w:tabs>
        <w:spacing w:line="480" w:lineRule="auto"/>
        <w:ind w:left="720" w:hanging="720"/>
        <w:rPr>
          <w:rFonts w:ascii="Times New Roman" w:hAnsi="Times New Roman" w:cs="Times New Roman"/>
          <w:sz w:val="24"/>
          <w:szCs w:val="24"/>
        </w:rPr>
      </w:pPr>
      <w:r w:rsidRPr="00FD7856">
        <w:rPr>
          <w:rFonts w:ascii="Times New Roman" w:hAnsi="Times New Roman" w:cs="Times New Roman"/>
          <w:color w:val="222222"/>
          <w:sz w:val="24"/>
          <w:szCs w:val="24"/>
          <w:shd w:val="clear" w:color="auto" w:fill="FFFFFF"/>
        </w:rPr>
        <w:t>Paul, E. F. (2017). </w:t>
      </w:r>
      <w:r w:rsidRPr="00FD7856">
        <w:rPr>
          <w:rFonts w:ascii="Times New Roman" w:hAnsi="Times New Roman" w:cs="Times New Roman"/>
          <w:i/>
          <w:iCs/>
          <w:color w:val="222222"/>
          <w:sz w:val="24"/>
          <w:szCs w:val="24"/>
          <w:shd w:val="clear" w:color="auto" w:fill="FFFFFF"/>
        </w:rPr>
        <w:t>Property rights and eminent domain</w:t>
      </w:r>
      <w:r w:rsidRPr="00FD7856">
        <w:rPr>
          <w:rFonts w:ascii="Times New Roman" w:hAnsi="Times New Roman" w:cs="Times New Roman"/>
          <w:color w:val="222222"/>
          <w:sz w:val="24"/>
          <w:szCs w:val="24"/>
          <w:shd w:val="clear" w:color="auto" w:fill="FFFFFF"/>
        </w:rPr>
        <w:t>. Routledge.</w:t>
      </w:r>
    </w:p>
    <w:p w:rsidR="00FD7856" w:rsidRPr="00FD7856" w:rsidP="00FD7856">
      <w:pPr>
        <w:tabs>
          <w:tab w:val="left" w:pos="3510"/>
          <w:tab w:val="left" w:pos="3870"/>
        </w:tabs>
        <w:spacing w:line="480" w:lineRule="auto"/>
        <w:ind w:left="720" w:hanging="720"/>
        <w:rPr>
          <w:rFonts w:ascii="Times New Roman" w:hAnsi="Times New Roman" w:cs="Times New Roman"/>
          <w:color w:val="222222"/>
          <w:sz w:val="24"/>
          <w:szCs w:val="24"/>
          <w:shd w:val="clear" w:color="auto" w:fill="FFFFFF"/>
        </w:rPr>
      </w:pPr>
      <w:r w:rsidRPr="00FD7856">
        <w:rPr>
          <w:rFonts w:ascii="Times New Roman" w:hAnsi="Times New Roman" w:cs="Times New Roman"/>
          <w:color w:val="222222"/>
          <w:sz w:val="24"/>
          <w:szCs w:val="24"/>
          <w:shd w:val="clear" w:color="auto" w:fill="FFFFFF"/>
        </w:rPr>
        <w:t>Sandefur, T. (2016). A gleeful obituary for Poletown Neighborhood Council v. Detroit. </w:t>
      </w:r>
      <w:r w:rsidRPr="00FD7856">
        <w:rPr>
          <w:rFonts w:ascii="Times New Roman" w:hAnsi="Times New Roman" w:cs="Times New Roman"/>
          <w:i/>
          <w:iCs/>
          <w:color w:val="222222"/>
          <w:sz w:val="24"/>
          <w:szCs w:val="24"/>
          <w:shd w:val="clear" w:color="auto" w:fill="FFFFFF"/>
        </w:rPr>
        <w:t>Harv. JL &amp; pub. pol'y</w:t>
      </w:r>
      <w:r w:rsidRPr="00FD7856">
        <w:rPr>
          <w:rFonts w:ascii="Times New Roman" w:hAnsi="Times New Roman" w:cs="Times New Roman"/>
          <w:color w:val="222222"/>
          <w:sz w:val="24"/>
          <w:szCs w:val="24"/>
          <w:shd w:val="clear" w:color="auto" w:fill="FFFFFF"/>
        </w:rPr>
        <w:t>, </w:t>
      </w:r>
      <w:r w:rsidRPr="00FD7856">
        <w:rPr>
          <w:rFonts w:ascii="Times New Roman" w:hAnsi="Times New Roman" w:cs="Times New Roman"/>
          <w:i/>
          <w:iCs/>
          <w:color w:val="222222"/>
          <w:sz w:val="24"/>
          <w:szCs w:val="24"/>
          <w:shd w:val="clear" w:color="auto" w:fill="FFFFFF"/>
        </w:rPr>
        <w:t>28</w:t>
      </w:r>
      <w:r w:rsidRPr="00FD7856">
        <w:rPr>
          <w:rFonts w:ascii="Times New Roman" w:hAnsi="Times New Roman" w:cs="Times New Roman"/>
          <w:color w:val="222222"/>
          <w:sz w:val="24"/>
          <w:szCs w:val="24"/>
          <w:shd w:val="clear" w:color="auto" w:fill="FFFFFF"/>
        </w:rPr>
        <w:t>, 651.</w:t>
      </w:r>
    </w:p>
    <w:sectPr w:rsidSect="004D01E7">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1E7" w:rsidRPr="004D01E7" w:rsidP="004D01E7">
    <w:pPr>
      <w:tabs>
        <w:tab w:val="left" w:pos="4208"/>
      </w:tabs>
      <w:spacing w:line="480" w:lineRule="auto"/>
      <w:rPr>
        <w:rFonts w:ascii="Times New Roman" w:hAnsi="Times New Roman" w:cs="Times New Roman"/>
        <w:sz w:val="24"/>
        <w:szCs w:val="24"/>
      </w:rPr>
    </w:pPr>
    <w:r>
      <w:rPr>
        <w:rFonts w:ascii="Times New Roman" w:hAnsi="Times New Roman" w:cs="Times New Roman"/>
        <w:sz w:val="24"/>
        <w:szCs w:val="24"/>
      </w:rPr>
      <w:t>CASE DISCUSSION</w:t>
    </w:r>
    <w:sdt>
      <w:sdtPr>
        <w:id w:val="6179486"/>
        <w:docPartObj>
          <w:docPartGallery w:val="Page Numbers (Top of Page)"/>
          <w:docPartUnique/>
        </w:docPartObj>
      </w:sdtPr>
      <w:sdtContent>
        <w:r>
          <w:tab/>
          <w:t xml:space="preserve">                                                                       </w:t>
        </w:r>
        <w:r>
          <w:tab/>
        </w:r>
        <w:r>
          <w:tab/>
        </w:r>
        <w:r>
          <w:fldChar w:fldCharType="begin"/>
        </w:r>
        <w:r>
          <w:instrText xml:space="preserve"> PAGE   \* MERGEFORMAT </w:instrText>
        </w:r>
        <w:r>
          <w:fldChar w:fldCharType="separate"/>
        </w:r>
        <w:r w:rsidR="00FD7856">
          <w:rPr>
            <w:noProof/>
          </w:rPr>
          <w:t>2</w:t>
        </w:r>
        <w:r w:rsidR="00FD7856">
          <w:rPr>
            <w:noProof/>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1E7" w:rsidRPr="004D01E7" w:rsidP="004D01E7">
    <w:pPr>
      <w:tabs>
        <w:tab w:val="left" w:pos="4208"/>
      </w:tabs>
      <w:spacing w:line="480" w:lineRule="auto"/>
      <w:rPr>
        <w:rFonts w:ascii="Times New Roman" w:hAnsi="Times New Roman" w:cs="Times New Roman"/>
        <w:sz w:val="24"/>
        <w:szCs w:val="24"/>
      </w:rPr>
    </w:pPr>
    <w:r>
      <w:rPr>
        <w:rFonts w:ascii="Times New Roman" w:hAnsi="Times New Roman" w:cs="Times New Roman"/>
        <w:sz w:val="24"/>
        <w:szCs w:val="24"/>
      </w:rPr>
      <w:t>Running Head: CASE DISCUSSION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20"/>
  <w:drawingGridHorizontalSpacing w:val="110"/>
  <w:displayHorizontalDrawingGridEvery w:val="2"/>
  <w:characterSpacingControl w:val="doNotCompress"/>
  <w:compat/>
  <w:rsids>
    <w:rsidRoot w:val="00395490"/>
    <w:rsid w:val="00135534"/>
    <w:rsid w:val="00165FBF"/>
    <w:rsid w:val="001B18F6"/>
    <w:rsid w:val="001B7F83"/>
    <w:rsid w:val="001F4195"/>
    <w:rsid w:val="00395490"/>
    <w:rsid w:val="003C7071"/>
    <w:rsid w:val="004D01E7"/>
    <w:rsid w:val="005821C5"/>
    <w:rsid w:val="00590054"/>
    <w:rsid w:val="005937DF"/>
    <w:rsid w:val="00670320"/>
    <w:rsid w:val="006F5BB6"/>
    <w:rsid w:val="0076338A"/>
    <w:rsid w:val="007B68CC"/>
    <w:rsid w:val="007E4657"/>
    <w:rsid w:val="008D572C"/>
    <w:rsid w:val="00975C23"/>
    <w:rsid w:val="00985E5F"/>
    <w:rsid w:val="009E3AC4"/>
    <w:rsid w:val="00BB1E2E"/>
    <w:rsid w:val="00C1470E"/>
    <w:rsid w:val="00CA2AF4"/>
    <w:rsid w:val="00CC70CD"/>
    <w:rsid w:val="00D9035D"/>
    <w:rsid w:val="00E13564"/>
    <w:rsid w:val="00E21350"/>
    <w:rsid w:val="00E539BE"/>
    <w:rsid w:val="00E810CA"/>
    <w:rsid w:val="00F14FDA"/>
    <w:rsid w:val="00F661E7"/>
    <w:rsid w:val="00FA0B8C"/>
    <w:rsid w:val="00FB31A9"/>
    <w:rsid w:val="00FD785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5E5F"/>
  </w:style>
  <w:style w:type="paragraph" w:styleId="Heading1">
    <w:name w:val="heading 1"/>
    <w:basedOn w:val="Normal"/>
    <w:link w:val="Heading1Char"/>
    <w:uiPriority w:val="9"/>
    <w:qFormat/>
    <w:rsid w:val="008D572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572C"/>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8D572C"/>
    <w:rPr>
      <w:color w:val="0000FF"/>
      <w:u w:val="single"/>
    </w:rPr>
  </w:style>
  <w:style w:type="paragraph" w:styleId="Header">
    <w:name w:val="header"/>
    <w:basedOn w:val="Normal"/>
    <w:link w:val="HeaderChar"/>
    <w:uiPriority w:val="99"/>
    <w:unhideWhenUsed/>
    <w:rsid w:val="004D01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01E7"/>
  </w:style>
  <w:style w:type="paragraph" w:styleId="Footer">
    <w:name w:val="footer"/>
    <w:basedOn w:val="Normal"/>
    <w:link w:val="FooterChar"/>
    <w:uiPriority w:val="99"/>
    <w:semiHidden/>
    <w:unhideWhenUsed/>
    <w:rsid w:val="004D01E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D01E7"/>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949</Words>
  <Characters>5415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4</cp:revision>
  <dcterms:created xsi:type="dcterms:W3CDTF">2020-11-24T10:51:00Z</dcterms:created>
  <dcterms:modified xsi:type="dcterms:W3CDTF">2020-11-24T10:54:00Z</dcterms:modified>
</cp:coreProperties>
</file>